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D8" w:rsidRPr="00B302D8"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xml:space="preserve">Baptist Health signed and returned the Recipient’s Funding Certification and Agreement form for the Emergency Financial Aid Grants to students under the Coronavirus Aid, Relief, and Economic Security (CARES) Act and intends to use the funds to provide the mandated amount of at least 50% of the emergency financial aid grants to eligible </w:t>
      </w:r>
      <w:r>
        <w:rPr>
          <w:rFonts w:ascii="Arial" w:eastAsia="Times New Roman" w:hAnsi="Arial" w:cs="Arial"/>
          <w:color w:val="333333"/>
          <w:sz w:val="24"/>
          <w:szCs w:val="24"/>
        </w:rPr>
        <w:t>BHCLR</w:t>
      </w:r>
      <w:r w:rsidRPr="00B302D8">
        <w:rPr>
          <w:rFonts w:ascii="Arial" w:eastAsia="Times New Roman" w:hAnsi="Arial" w:cs="Arial"/>
          <w:color w:val="333333"/>
          <w:sz w:val="24"/>
          <w:szCs w:val="24"/>
        </w:rPr>
        <w:t xml:space="preserve"> students who were enrolled during the Spring 2020</w:t>
      </w:r>
      <w:r>
        <w:rPr>
          <w:rFonts w:ascii="Arial" w:eastAsia="Times New Roman" w:hAnsi="Arial" w:cs="Arial"/>
          <w:color w:val="333333"/>
          <w:sz w:val="24"/>
          <w:szCs w:val="24"/>
        </w:rPr>
        <w:t>/ Fall 2021</w:t>
      </w:r>
      <w:r w:rsidRPr="00B302D8">
        <w:rPr>
          <w:rFonts w:ascii="Arial" w:eastAsia="Times New Roman" w:hAnsi="Arial" w:cs="Arial"/>
          <w:color w:val="333333"/>
          <w:sz w:val="24"/>
          <w:szCs w:val="24"/>
        </w:rPr>
        <w:t xml:space="preserve"> semester.</w:t>
      </w:r>
    </w:p>
    <w:p w:rsidR="00B302D8" w:rsidRPr="00B302D8"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xml:space="preserve">As of </w:t>
      </w:r>
      <w:r w:rsidR="00026484">
        <w:rPr>
          <w:rFonts w:ascii="Arial" w:eastAsia="Times New Roman" w:hAnsi="Arial" w:cs="Arial"/>
          <w:color w:val="333333"/>
          <w:sz w:val="24"/>
          <w:szCs w:val="24"/>
        </w:rPr>
        <w:t>September 25th</w:t>
      </w:r>
      <w:r w:rsidRPr="00B302D8">
        <w:rPr>
          <w:rFonts w:ascii="Arial" w:eastAsia="Times New Roman" w:hAnsi="Arial" w:cs="Arial"/>
          <w:color w:val="333333"/>
          <w:sz w:val="24"/>
          <w:szCs w:val="24"/>
        </w:rPr>
        <w:t xml:space="preserve">, </w:t>
      </w:r>
      <w:r>
        <w:rPr>
          <w:rFonts w:ascii="Arial" w:eastAsia="Times New Roman" w:hAnsi="Arial" w:cs="Arial"/>
          <w:color w:val="333333"/>
          <w:sz w:val="24"/>
          <w:szCs w:val="24"/>
        </w:rPr>
        <w:t>BHCLR</w:t>
      </w:r>
      <w:r w:rsidR="00026484">
        <w:rPr>
          <w:rFonts w:ascii="Arial" w:eastAsia="Times New Roman" w:hAnsi="Arial" w:cs="Arial"/>
          <w:color w:val="333333"/>
          <w:sz w:val="24"/>
          <w:szCs w:val="24"/>
        </w:rPr>
        <w:t xml:space="preserve"> has disbursed $512,050</w:t>
      </w:r>
      <w:r w:rsidR="00CC652B">
        <w:rPr>
          <w:rFonts w:ascii="Arial" w:eastAsia="Times New Roman" w:hAnsi="Arial" w:cs="Arial"/>
          <w:color w:val="333333"/>
          <w:sz w:val="24"/>
          <w:szCs w:val="24"/>
        </w:rPr>
        <w:t xml:space="preserve"> of the Emergency Grant Fund</w:t>
      </w:r>
      <w:r>
        <w:rPr>
          <w:rFonts w:ascii="Arial" w:eastAsia="Times New Roman" w:hAnsi="Arial" w:cs="Arial"/>
          <w:color w:val="333333"/>
          <w:sz w:val="24"/>
          <w:szCs w:val="24"/>
        </w:rPr>
        <w:t xml:space="preserve"> </w:t>
      </w:r>
      <w:r w:rsidRPr="00B302D8">
        <w:rPr>
          <w:rFonts w:ascii="Arial" w:eastAsia="Times New Roman" w:hAnsi="Arial" w:cs="Arial"/>
          <w:color w:val="333333"/>
          <w:sz w:val="24"/>
          <w:szCs w:val="24"/>
        </w:rPr>
        <w:t xml:space="preserve">to </w:t>
      </w:r>
      <w:r w:rsidR="00887266">
        <w:rPr>
          <w:rFonts w:ascii="Arial" w:eastAsia="Times New Roman" w:hAnsi="Arial" w:cs="Arial"/>
          <w:color w:val="333333"/>
          <w:sz w:val="24"/>
          <w:szCs w:val="24"/>
        </w:rPr>
        <w:t>507</w:t>
      </w:r>
      <w:r w:rsidRPr="00B302D8">
        <w:rPr>
          <w:rFonts w:ascii="Arial" w:eastAsia="Times New Roman" w:hAnsi="Arial" w:cs="Arial"/>
          <w:color w:val="333333"/>
          <w:sz w:val="24"/>
          <w:szCs w:val="24"/>
        </w:rPr>
        <w:t xml:space="preserve"> students</w:t>
      </w:r>
      <w:r w:rsidR="00026484">
        <w:rPr>
          <w:rFonts w:ascii="Arial" w:eastAsia="Times New Roman" w:hAnsi="Arial" w:cs="Arial"/>
          <w:color w:val="333333"/>
          <w:sz w:val="24"/>
          <w:szCs w:val="24"/>
        </w:rPr>
        <w:t xml:space="preserve"> with $388,450</w:t>
      </w:r>
      <w:r w:rsidR="00F92C17">
        <w:rPr>
          <w:rFonts w:ascii="Arial" w:eastAsia="Times New Roman" w:hAnsi="Arial" w:cs="Arial"/>
          <w:color w:val="333333"/>
          <w:sz w:val="24"/>
          <w:szCs w:val="24"/>
        </w:rPr>
        <w:t xml:space="preserve"> of those funds going to help students during the pandemic and $</w:t>
      </w:r>
      <w:r w:rsidR="00026484">
        <w:rPr>
          <w:rFonts w:ascii="Arial" w:eastAsia="Times New Roman" w:hAnsi="Arial" w:cs="Arial"/>
          <w:color w:val="333333"/>
          <w:sz w:val="24"/>
          <w:szCs w:val="24"/>
        </w:rPr>
        <w:t>123,600</w:t>
      </w:r>
      <w:r w:rsidR="00F92C17">
        <w:rPr>
          <w:rFonts w:ascii="Arial" w:eastAsia="Times New Roman" w:hAnsi="Arial" w:cs="Arial"/>
          <w:color w:val="333333"/>
          <w:sz w:val="24"/>
          <w:szCs w:val="24"/>
        </w:rPr>
        <w:t xml:space="preserve"> went to students to help with new technology requirements due to moving online.  </w:t>
      </w:r>
      <w:r>
        <w:rPr>
          <w:rFonts w:ascii="Arial" w:eastAsia="Times New Roman" w:hAnsi="Arial" w:cs="Arial"/>
          <w:color w:val="333333"/>
          <w:sz w:val="24"/>
          <w:szCs w:val="24"/>
        </w:rPr>
        <w:t>BHCLR</w:t>
      </w:r>
      <w:r w:rsidRPr="00B302D8">
        <w:rPr>
          <w:rFonts w:ascii="Arial" w:eastAsia="Times New Roman" w:hAnsi="Arial" w:cs="Arial"/>
          <w:color w:val="333333"/>
          <w:sz w:val="24"/>
          <w:szCs w:val="24"/>
        </w:rPr>
        <w:t xml:space="preserve"> initially estimated that about </w:t>
      </w:r>
      <w:r>
        <w:rPr>
          <w:rFonts w:ascii="Arial" w:eastAsia="Times New Roman" w:hAnsi="Arial" w:cs="Arial"/>
          <w:color w:val="333333"/>
          <w:sz w:val="24"/>
          <w:szCs w:val="24"/>
        </w:rPr>
        <w:t>600</w:t>
      </w:r>
      <w:r w:rsidRPr="00B302D8">
        <w:rPr>
          <w:rFonts w:ascii="Arial" w:eastAsia="Times New Roman" w:hAnsi="Arial" w:cs="Arial"/>
          <w:color w:val="333333"/>
          <w:sz w:val="24"/>
          <w:szCs w:val="24"/>
        </w:rPr>
        <w:t xml:space="preserve"> students would be eligible to participate in the programs under Section 484 in Title IV of the Higher Education Act of 1965 and therefore eligible to receive an emergency financial aid grant.</w:t>
      </w:r>
      <w:r w:rsidR="00CC652B">
        <w:rPr>
          <w:rFonts w:ascii="Arial" w:eastAsia="Times New Roman" w:hAnsi="Arial" w:cs="Arial"/>
          <w:color w:val="333333"/>
          <w:sz w:val="24"/>
          <w:szCs w:val="24"/>
        </w:rPr>
        <w:t xml:space="preserve"> </w:t>
      </w:r>
    </w:p>
    <w:p w:rsidR="00CC652B"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xml:space="preserve">The total amount </w:t>
      </w:r>
      <w:r>
        <w:rPr>
          <w:rFonts w:ascii="Arial" w:eastAsia="Times New Roman" w:hAnsi="Arial" w:cs="Arial"/>
          <w:color w:val="333333"/>
          <w:sz w:val="24"/>
          <w:szCs w:val="24"/>
        </w:rPr>
        <w:t>BHCLR</w:t>
      </w:r>
      <w:r w:rsidRPr="00B302D8">
        <w:rPr>
          <w:rFonts w:ascii="Arial" w:eastAsia="Times New Roman" w:hAnsi="Arial" w:cs="Arial"/>
          <w:color w:val="333333"/>
          <w:sz w:val="24"/>
          <w:szCs w:val="24"/>
        </w:rPr>
        <w:t xml:space="preserve"> received under the Higher Education Emergency Relief Fund (HEERF) student portion was $</w:t>
      </w:r>
      <w:r w:rsidR="003529D8">
        <w:rPr>
          <w:rFonts w:ascii="Arial" w:eastAsia="Times New Roman" w:hAnsi="Arial" w:cs="Arial"/>
          <w:color w:val="333333"/>
          <w:sz w:val="24"/>
          <w:szCs w:val="24"/>
        </w:rPr>
        <w:t>438,175</w:t>
      </w:r>
      <w:r w:rsidRPr="00B302D8">
        <w:rPr>
          <w:rFonts w:ascii="Arial" w:eastAsia="Times New Roman" w:hAnsi="Arial" w:cs="Arial"/>
          <w:color w:val="333333"/>
          <w:sz w:val="24"/>
          <w:szCs w:val="24"/>
        </w:rPr>
        <w:t>. These funds were for expenses related to the disruption of campus operations due to the coronavirus.</w:t>
      </w:r>
    </w:p>
    <w:p w:rsidR="00B302D8" w:rsidRPr="00B302D8"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b/>
          <w:bCs/>
          <w:color w:val="333333"/>
          <w:sz w:val="24"/>
          <w:szCs w:val="24"/>
        </w:rPr>
        <w:t>How to Apply for CARES Grant Funding:</w:t>
      </w:r>
    </w:p>
    <w:p w:rsidR="00B302D8" w:rsidRDefault="00B302D8" w:rsidP="00B302D8">
      <w:pPr>
        <w:shd w:val="clear" w:color="auto" w:fill="FFFFFF"/>
        <w:spacing w:after="150" w:line="240" w:lineRule="auto"/>
        <w:rPr>
          <w:rFonts w:ascii="Arial" w:eastAsia="Times New Roman" w:hAnsi="Arial" w:cs="Arial"/>
          <w:b/>
          <w:bCs/>
          <w:color w:val="A61E36"/>
          <w:sz w:val="24"/>
          <w:szCs w:val="24"/>
        </w:rPr>
      </w:pPr>
      <w:r w:rsidRPr="00B302D8">
        <w:rPr>
          <w:rFonts w:ascii="Arial" w:eastAsia="Times New Roman" w:hAnsi="Arial" w:cs="Arial"/>
          <w:b/>
          <w:bCs/>
          <w:color w:val="A61E36"/>
          <w:sz w:val="24"/>
          <w:szCs w:val="24"/>
        </w:rPr>
        <w:t xml:space="preserve">The </w:t>
      </w:r>
      <w:r w:rsidR="00F92C17">
        <w:rPr>
          <w:rFonts w:ascii="Arial" w:eastAsia="Times New Roman" w:hAnsi="Arial" w:cs="Arial"/>
          <w:b/>
          <w:bCs/>
          <w:color w:val="A61E36"/>
          <w:sz w:val="24"/>
          <w:szCs w:val="24"/>
        </w:rPr>
        <w:t xml:space="preserve">Spring </w:t>
      </w:r>
      <w:r w:rsidRPr="00B302D8">
        <w:rPr>
          <w:rFonts w:ascii="Arial" w:eastAsia="Times New Roman" w:hAnsi="Arial" w:cs="Arial"/>
          <w:b/>
          <w:bCs/>
          <w:color w:val="A61E36"/>
          <w:sz w:val="24"/>
          <w:szCs w:val="24"/>
        </w:rPr>
        <w:t xml:space="preserve">application for CARES </w:t>
      </w:r>
      <w:r w:rsidR="00F92C17">
        <w:rPr>
          <w:rFonts w:ascii="Arial" w:eastAsia="Times New Roman" w:hAnsi="Arial" w:cs="Arial"/>
          <w:b/>
          <w:bCs/>
          <w:color w:val="A61E36"/>
          <w:sz w:val="24"/>
          <w:szCs w:val="24"/>
        </w:rPr>
        <w:t xml:space="preserve">Emergency Funding </w:t>
      </w:r>
      <w:r w:rsidRPr="00B302D8">
        <w:rPr>
          <w:rFonts w:ascii="Arial" w:eastAsia="Times New Roman" w:hAnsi="Arial" w:cs="Arial"/>
          <w:b/>
          <w:bCs/>
          <w:color w:val="A61E36"/>
          <w:sz w:val="24"/>
          <w:szCs w:val="24"/>
        </w:rPr>
        <w:t xml:space="preserve">has closed. The deadline was Wednesday, </w:t>
      </w:r>
      <w:r w:rsidR="00737DCE">
        <w:rPr>
          <w:rFonts w:ascii="Arial" w:eastAsia="Times New Roman" w:hAnsi="Arial" w:cs="Arial"/>
          <w:b/>
          <w:bCs/>
          <w:color w:val="A61E36"/>
          <w:sz w:val="24"/>
          <w:szCs w:val="24"/>
        </w:rPr>
        <w:t>June</w:t>
      </w:r>
      <w:r w:rsidRPr="00B302D8">
        <w:rPr>
          <w:rFonts w:ascii="Arial" w:eastAsia="Times New Roman" w:hAnsi="Arial" w:cs="Arial"/>
          <w:b/>
          <w:bCs/>
          <w:color w:val="A61E36"/>
          <w:sz w:val="24"/>
          <w:szCs w:val="24"/>
        </w:rPr>
        <w:t xml:space="preserve"> </w:t>
      </w:r>
      <w:r w:rsidR="00737DCE">
        <w:rPr>
          <w:rFonts w:ascii="Arial" w:eastAsia="Times New Roman" w:hAnsi="Arial" w:cs="Arial"/>
          <w:b/>
          <w:bCs/>
          <w:color w:val="A61E36"/>
          <w:sz w:val="24"/>
          <w:szCs w:val="24"/>
        </w:rPr>
        <w:t>26</w:t>
      </w:r>
      <w:r w:rsidRPr="00B302D8">
        <w:rPr>
          <w:rFonts w:ascii="Arial" w:eastAsia="Times New Roman" w:hAnsi="Arial" w:cs="Arial"/>
          <w:b/>
          <w:bCs/>
          <w:color w:val="A61E36"/>
          <w:sz w:val="24"/>
          <w:szCs w:val="24"/>
        </w:rPr>
        <w:t>, 2020.</w:t>
      </w:r>
    </w:p>
    <w:p w:rsidR="0057409F" w:rsidRDefault="0057409F" w:rsidP="00B302D8">
      <w:pPr>
        <w:shd w:val="clear" w:color="auto" w:fill="FFFFFF"/>
        <w:spacing w:after="150" w:line="240" w:lineRule="auto"/>
        <w:rPr>
          <w:rFonts w:ascii="Arial" w:eastAsia="Times New Roman" w:hAnsi="Arial" w:cs="Arial"/>
          <w:b/>
          <w:bCs/>
          <w:color w:val="A61E36"/>
          <w:sz w:val="24"/>
          <w:szCs w:val="24"/>
        </w:rPr>
      </w:pPr>
      <w:r>
        <w:rPr>
          <w:rFonts w:ascii="Arial" w:eastAsia="Times New Roman" w:hAnsi="Arial" w:cs="Arial"/>
          <w:b/>
          <w:bCs/>
          <w:color w:val="A61E36"/>
          <w:sz w:val="24"/>
          <w:szCs w:val="24"/>
        </w:rPr>
        <w:t>The</w:t>
      </w:r>
      <w:r w:rsidR="00F92C17">
        <w:rPr>
          <w:rFonts w:ascii="Arial" w:eastAsia="Times New Roman" w:hAnsi="Arial" w:cs="Arial"/>
          <w:b/>
          <w:bCs/>
          <w:color w:val="A61E36"/>
          <w:sz w:val="24"/>
          <w:szCs w:val="24"/>
        </w:rPr>
        <w:t xml:space="preserve"> Fall</w:t>
      </w:r>
      <w:r>
        <w:rPr>
          <w:rFonts w:ascii="Arial" w:eastAsia="Times New Roman" w:hAnsi="Arial" w:cs="Arial"/>
          <w:b/>
          <w:bCs/>
          <w:color w:val="A61E36"/>
          <w:sz w:val="24"/>
          <w:szCs w:val="24"/>
        </w:rPr>
        <w:t xml:space="preserve"> application for CARES </w:t>
      </w:r>
      <w:r w:rsidR="00F92C17">
        <w:rPr>
          <w:rFonts w:ascii="Arial" w:eastAsia="Times New Roman" w:hAnsi="Arial" w:cs="Arial"/>
          <w:b/>
          <w:bCs/>
          <w:color w:val="A61E36"/>
          <w:sz w:val="24"/>
          <w:szCs w:val="24"/>
        </w:rPr>
        <w:t xml:space="preserve">Emergency Funding </w:t>
      </w:r>
      <w:r w:rsidR="00026484">
        <w:rPr>
          <w:rFonts w:ascii="Arial" w:eastAsia="Times New Roman" w:hAnsi="Arial" w:cs="Arial"/>
          <w:b/>
          <w:bCs/>
          <w:color w:val="A61E36"/>
          <w:sz w:val="24"/>
          <w:szCs w:val="24"/>
        </w:rPr>
        <w:t>has closed.  The deadline was August 28, 2020.</w:t>
      </w:r>
    </w:p>
    <w:p w:rsidR="00F92C17" w:rsidRDefault="00F92C17" w:rsidP="00B302D8">
      <w:pPr>
        <w:shd w:val="clear" w:color="auto" w:fill="FFFFFF"/>
        <w:spacing w:after="150" w:line="240" w:lineRule="auto"/>
        <w:rPr>
          <w:rFonts w:ascii="Arial" w:eastAsia="Times New Roman" w:hAnsi="Arial" w:cs="Arial"/>
          <w:b/>
          <w:bCs/>
          <w:color w:val="A61E36"/>
          <w:sz w:val="24"/>
          <w:szCs w:val="24"/>
        </w:rPr>
      </w:pPr>
      <w:r>
        <w:rPr>
          <w:rFonts w:ascii="Arial" w:eastAsia="Times New Roman" w:hAnsi="Arial" w:cs="Arial"/>
          <w:b/>
          <w:bCs/>
          <w:color w:val="A61E36"/>
          <w:sz w:val="24"/>
          <w:szCs w:val="24"/>
        </w:rPr>
        <w:t xml:space="preserve">The application for CARES Emergency Funding for Technology </w:t>
      </w:r>
      <w:r w:rsidR="00026484">
        <w:rPr>
          <w:rFonts w:ascii="Arial" w:eastAsia="Times New Roman" w:hAnsi="Arial" w:cs="Arial"/>
          <w:b/>
          <w:bCs/>
          <w:color w:val="A61E36"/>
          <w:sz w:val="24"/>
          <w:szCs w:val="24"/>
        </w:rPr>
        <w:t>has closed.  The deadline was August 28</w:t>
      </w:r>
      <w:r w:rsidR="00026484" w:rsidRPr="00026484">
        <w:rPr>
          <w:rFonts w:ascii="Arial" w:eastAsia="Times New Roman" w:hAnsi="Arial" w:cs="Arial"/>
          <w:b/>
          <w:bCs/>
          <w:color w:val="A61E36"/>
          <w:sz w:val="24"/>
          <w:szCs w:val="24"/>
          <w:vertAlign w:val="superscript"/>
        </w:rPr>
        <w:t>th</w:t>
      </w:r>
      <w:r w:rsidR="00026484">
        <w:rPr>
          <w:rFonts w:ascii="Arial" w:eastAsia="Times New Roman" w:hAnsi="Arial" w:cs="Arial"/>
          <w:b/>
          <w:bCs/>
          <w:color w:val="A61E36"/>
          <w:sz w:val="24"/>
          <w:szCs w:val="24"/>
        </w:rPr>
        <w:t xml:space="preserve">. </w:t>
      </w:r>
    </w:p>
    <w:p w:rsidR="00B302D8" w:rsidRPr="00B302D8"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b/>
          <w:bCs/>
          <w:color w:val="333333"/>
          <w:sz w:val="24"/>
          <w:szCs w:val="24"/>
        </w:rPr>
        <w:t>Disbursement of Emergency Financial Aid Grants</w:t>
      </w:r>
    </w:p>
    <w:p w:rsidR="00B302D8"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xml:space="preserve">The amount of each </w:t>
      </w:r>
      <w:r w:rsidR="00F92C17">
        <w:rPr>
          <w:rFonts w:ascii="Arial" w:eastAsia="Times New Roman" w:hAnsi="Arial" w:cs="Arial"/>
          <w:color w:val="333333"/>
          <w:sz w:val="24"/>
          <w:szCs w:val="24"/>
        </w:rPr>
        <w:t xml:space="preserve">emergency funding award </w:t>
      </w:r>
      <w:r w:rsidRPr="00B302D8">
        <w:rPr>
          <w:rFonts w:ascii="Arial" w:eastAsia="Times New Roman" w:hAnsi="Arial" w:cs="Arial"/>
          <w:color w:val="333333"/>
          <w:sz w:val="24"/>
          <w:szCs w:val="24"/>
        </w:rPr>
        <w:t>was based on the number of credit hours a qualified student was enrolled in on March 1, 2020, and the student’s Estimated Family Contribution (EFC) as determined by their completed 2019-2020</w:t>
      </w:r>
      <w:r w:rsidR="002C740E">
        <w:rPr>
          <w:rFonts w:ascii="Arial" w:eastAsia="Times New Roman" w:hAnsi="Arial" w:cs="Arial"/>
          <w:color w:val="333333"/>
          <w:sz w:val="24"/>
          <w:szCs w:val="24"/>
        </w:rPr>
        <w:t xml:space="preserve"> or</w:t>
      </w:r>
      <w:bookmarkStart w:id="0" w:name="_GoBack"/>
      <w:bookmarkEnd w:id="0"/>
      <w:r w:rsidR="002C740E">
        <w:rPr>
          <w:rFonts w:ascii="Arial" w:eastAsia="Times New Roman" w:hAnsi="Arial" w:cs="Arial"/>
          <w:color w:val="333333"/>
          <w:sz w:val="24"/>
          <w:szCs w:val="24"/>
        </w:rPr>
        <w:t xml:space="preserve"> 2020-2021</w:t>
      </w:r>
      <w:r w:rsidRPr="00B302D8">
        <w:rPr>
          <w:rFonts w:ascii="Arial" w:eastAsia="Times New Roman" w:hAnsi="Arial" w:cs="Arial"/>
          <w:color w:val="333333"/>
          <w:sz w:val="24"/>
          <w:szCs w:val="24"/>
        </w:rPr>
        <w:t xml:space="preserve"> FAFSA.</w:t>
      </w:r>
      <w:r w:rsidR="002C740E">
        <w:rPr>
          <w:rFonts w:ascii="Arial" w:eastAsia="Times New Roman" w:hAnsi="Arial" w:cs="Arial"/>
          <w:color w:val="333333"/>
          <w:sz w:val="24"/>
          <w:szCs w:val="24"/>
        </w:rPr>
        <w:t xml:space="preserve"> </w:t>
      </w:r>
      <w:r>
        <w:rPr>
          <w:rFonts w:ascii="Arial" w:eastAsia="Times New Roman" w:hAnsi="Arial" w:cs="Arial"/>
          <w:color w:val="333333"/>
          <w:sz w:val="24"/>
          <w:szCs w:val="24"/>
        </w:rPr>
        <w:t>BHCLR</w:t>
      </w:r>
      <w:r w:rsidRPr="00B302D8">
        <w:rPr>
          <w:rFonts w:ascii="Arial" w:eastAsia="Times New Roman" w:hAnsi="Arial" w:cs="Arial"/>
          <w:color w:val="333333"/>
          <w:sz w:val="24"/>
          <w:szCs w:val="24"/>
        </w:rPr>
        <w:t xml:space="preserve"> distributed </w:t>
      </w:r>
      <w:r w:rsidR="00F92C17">
        <w:rPr>
          <w:rFonts w:ascii="Arial" w:eastAsia="Times New Roman" w:hAnsi="Arial" w:cs="Arial"/>
          <w:color w:val="333333"/>
          <w:sz w:val="24"/>
          <w:szCs w:val="24"/>
        </w:rPr>
        <w:t xml:space="preserve">emergency </w:t>
      </w:r>
      <w:r w:rsidRPr="00B302D8">
        <w:rPr>
          <w:rFonts w:ascii="Arial" w:eastAsia="Times New Roman" w:hAnsi="Arial" w:cs="Arial"/>
          <w:color w:val="333333"/>
          <w:sz w:val="24"/>
          <w:szCs w:val="24"/>
        </w:rPr>
        <w:t xml:space="preserve">grants to eligible students who were enrolled for the </w:t>
      </w:r>
      <w:r w:rsidR="00F03DA1" w:rsidRPr="00B302D8">
        <w:rPr>
          <w:rFonts w:ascii="Arial" w:eastAsia="Times New Roman" w:hAnsi="Arial" w:cs="Arial"/>
          <w:color w:val="333333"/>
          <w:sz w:val="24"/>
          <w:szCs w:val="24"/>
        </w:rPr>
        <w:t>spring</w:t>
      </w:r>
      <w:r w:rsidRPr="00B302D8">
        <w:rPr>
          <w:rFonts w:ascii="Arial" w:eastAsia="Times New Roman" w:hAnsi="Arial" w:cs="Arial"/>
          <w:color w:val="333333"/>
          <w:sz w:val="24"/>
          <w:szCs w:val="24"/>
        </w:rPr>
        <w:t xml:space="preserve"> 2020</w:t>
      </w:r>
      <w:r w:rsidR="00887266">
        <w:rPr>
          <w:rFonts w:ascii="Arial" w:eastAsia="Times New Roman" w:hAnsi="Arial" w:cs="Arial"/>
          <w:color w:val="333333"/>
          <w:sz w:val="24"/>
          <w:szCs w:val="24"/>
        </w:rPr>
        <w:t xml:space="preserve"> and fall 2021</w:t>
      </w:r>
      <w:r w:rsidRPr="00B302D8">
        <w:rPr>
          <w:rFonts w:ascii="Arial" w:eastAsia="Times New Roman" w:hAnsi="Arial" w:cs="Arial"/>
          <w:color w:val="333333"/>
          <w:sz w:val="24"/>
          <w:szCs w:val="24"/>
        </w:rPr>
        <w:t xml:space="preserve"> semester, had a 2019-2020</w:t>
      </w:r>
      <w:r w:rsidR="00887266">
        <w:rPr>
          <w:rFonts w:ascii="Arial" w:eastAsia="Times New Roman" w:hAnsi="Arial" w:cs="Arial"/>
          <w:color w:val="333333"/>
          <w:sz w:val="24"/>
          <w:szCs w:val="24"/>
        </w:rPr>
        <w:t xml:space="preserve"> </w:t>
      </w:r>
      <w:r w:rsidR="002C740E">
        <w:rPr>
          <w:rFonts w:ascii="Arial" w:eastAsia="Times New Roman" w:hAnsi="Arial" w:cs="Arial"/>
          <w:color w:val="333333"/>
          <w:sz w:val="24"/>
          <w:szCs w:val="24"/>
        </w:rPr>
        <w:t>or</w:t>
      </w:r>
      <w:r w:rsidR="00887266">
        <w:rPr>
          <w:rFonts w:ascii="Arial" w:eastAsia="Times New Roman" w:hAnsi="Arial" w:cs="Arial"/>
          <w:color w:val="333333"/>
          <w:sz w:val="24"/>
          <w:szCs w:val="24"/>
        </w:rPr>
        <w:t xml:space="preserve"> 2020-2021 </w:t>
      </w:r>
      <w:r w:rsidR="00887266" w:rsidRPr="00B302D8">
        <w:rPr>
          <w:rFonts w:ascii="Arial" w:eastAsia="Times New Roman" w:hAnsi="Arial" w:cs="Arial"/>
          <w:color w:val="333333"/>
          <w:sz w:val="24"/>
          <w:szCs w:val="24"/>
        </w:rPr>
        <w:t>FAFSA</w:t>
      </w:r>
      <w:r w:rsidRPr="00B302D8">
        <w:rPr>
          <w:rFonts w:ascii="Arial" w:eastAsia="Times New Roman" w:hAnsi="Arial" w:cs="Arial"/>
          <w:color w:val="333333"/>
          <w:sz w:val="24"/>
          <w:szCs w:val="24"/>
        </w:rPr>
        <w:t xml:space="preserve"> on file, and completed the </w:t>
      </w:r>
      <w:r>
        <w:rPr>
          <w:rFonts w:ascii="Arial" w:eastAsia="Times New Roman" w:hAnsi="Arial" w:cs="Arial"/>
          <w:color w:val="333333"/>
          <w:sz w:val="24"/>
          <w:szCs w:val="24"/>
        </w:rPr>
        <w:t>BHCLR</w:t>
      </w:r>
      <w:r w:rsidRPr="00B302D8">
        <w:rPr>
          <w:rFonts w:ascii="Arial" w:eastAsia="Times New Roman" w:hAnsi="Arial" w:cs="Arial"/>
          <w:color w:val="333333"/>
          <w:sz w:val="24"/>
          <w:szCs w:val="24"/>
        </w:rPr>
        <w:t xml:space="preserve"> Emergen</w:t>
      </w:r>
      <w:r w:rsidR="00301AB6">
        <w:rPr>
          <w:rFonts w:ascii="Arial" w:eastAsia="Times New Roman" w:hAnsi="Arial" w:cs="Arial"/>
          <w:color w:val="333333"/>
          <w:sz w:val="24"/>
          <w:szCs w:val="24"/>
        </w:rPr>
        <w:t xml:space="preserve">cy Grant Certification Form by </w:t>
      </w:r>
      <w:r w:rsidR="00887266">
        <w:rPr>
          <w:rFonts w:ascii="Arial" w:eastAsia="Times New Roman" w:hAnsi="Arial" w:cs="Arial"/>
          <w:color w:val="333333"/>
          <w:sz w:val="24"/>
          <w:szCs w:val="24"/>
        </w:rPr>
        <w:t>each semester posted deadlines</w:t>
      </w:r>
      <w:r w:rsidRPr="00B302D8">
        <w:rPr>
          <w:rFonts w:ascii="Arial" w:eastAsia="Times New Roman" w:hAnsi="Arial" w:cs="Arial"/>
          <w:color w:val="333333"/>
          <w:sz w:val="24"/>
          <w:szCs w:val="24"/>
        </w:rPr>
        <w:t xml:space="preserve">. Funds were disbursed to students via direct deposit and mail. Students were able to sign up for direct deposit by logging in to the </w:t>
      </w:r>
      <w:r>
        <w:rPr>
          <w:rFonts w:ascii="Arial" w:eastAsia="Times New Roman" w:hAnsi="Arial" w:cs="Arial"/>
          <w:color w:val="333333"/>
          <w:sz w:val="24"/>
          <w:szCs w:val="24"/>
        </w:rPr>
        <w:t xml:space="preserve">BHCLR </w:t>
      </w:r>
      <w:r w:rsidRPr="00B302D8">
        <w:rPr>
          <w:rFonts w:ascii="Arial" w:eastAsia="Times New Roman" w:hAnsi="Arial" w:cs="Arial"/>
          <w:color w:val="333333"/>
          <w:sz w:val="24"/>
          <w:szCs w:val="24"/>
        </w:rPr>
        <w:t>Campus Portal at </w:t>
      </w:r>
      <w:hyperlink r:id="rId4" w:history="1">
        <w:r w:rsidRPr="0047002E">
          <w:rPr>
            <w:rStyle w:val="Hyperlink"/>
            <w:rFonts w:ascii="Arial" w:eastAsia="Times New Roman" w:hAnsi="Arial" w:cs="Arial"/>
            <w:sz w:val="24"/>
            <w:szCs w:val="24"/>
          </w:rPr>
          <w:t>https://mybhclr.baptist-health.org/ics</w:t>
        </w:r>
      </w:hyperlink>
      <w:r>
        <w:rPr>
          <w:rFonts w:ascii="Arial" w:eastAsia="Times New Roman" w:hAnsi="Arial" w:cs="Arial"/>
          <w:color w:val="333333"/>
          <w:sz w:val="24"/>
          <w:szCs w:val="24"/>
        </w:rPr>
        <w:t xml:space="preserve"> </w:t>
      </w:r>
      <w:r w:rsidRPr="00B302D8">
        <w:rPr>
          <w:rFonts w:ascii="Arial" w:eastAsia="Times New Roman" w:hAnsi="Arial" w:cs="Arial"/>
          <w:color w:val="333333"/>
          <w:sz w:val="24"/>
          <w:szCs w:val="24"/>
        </w:rPr>
        <w:t xml:space="preserve">, selecting the “Student” tab, selecting "Nelnet Enterprise" and clicking "Student Choice Refunds." If students had questions about direct deposit or the funds being mailed, they could have contacted </w:t>
      </w:r>
      <w:r>
        <w:rPr>
          <w:rFonts w:ascii="Arial" w:eastAsia="Times New Roman" w:hAnsi="Arial" w:cs="Arial"/>
          <w:color w:val="333333"/>
          <w:sz w:val="24"/>
          <w:szCs w:val="24"/>
        </w:rPr>
        <w:t>Student Accounts</w:t>
      </w:r>
      <w:r w:rsidRPr="00B302D8">
        <w:rPr>
          <w:rFonts w:ascii="Arial" w:eastAsia="Times New Roman" w:hAnsi="Arial" w:cs="Arial"/>
          <w:color w:val="333333"/>
          <w:sz w:val="24"/>
          <w:szCs w:val="24"/>
        </w:rPr>
        <w:t xml:space="preserve"> at</w:t>
      </w:r>
      <w:r>
        <w:rPr>
          <w:rFonts w:ascii="Arial" w:eastAsia="Times New Roman" w:hAnsi="Arial" w:cs="Arial"/>
          <w:color w:val="333333"/>
          <w:sz w:val="24"/>
          <w:szCs w:val="24"/>
        </w:rPr>
        <w:t xml:space="preserve"> </w:t>
      </w:r>
      <w:hyperlink r:id="rId5" w:history="1">
        <w:r w:rsidRPr="0047002E">
          <w:rPr>
            <w:rStyle w:val="Hyperlink"/>
            <w:rFonts w:ascii="Arial" w:eastAsia="Times New Roman" w:hAnsi="Arial" w:cs="Arial"/>
            <w:sz w:val="24"/>
            <w:szCs w:val="24"/>
          </w:rPr>
          <w:t>businessoffice@bhclr.edu</w:t>
        </w:r>
      </w:hyperlink>
      <w:r>
        <w:rPr>
          <w:rFonts w:ascii="Arial" w:eastAsia="Times New Roman" w:hAnsi="Arial" w:cs="Arial"/>
          <w:color w:val="333333"/>
          <w:sz w:val="24"/>
          <w:szCs w:val="24"/>
        </w:rPr>
        <w:t xml:space="preserve"> </w:t>
      </w:r>
      <w:r w:rsidRPr="00B302D8">
        <w:rPr>
          <w:rFonts w:ascii="Arial" w:eastAsia="Times New Roman" w:hAnsi="Arial" w:cs="Arial"/>
          <w:color w:val="333333"/>
          <w:sz w:val="24"/>
          <w:szCs w:val="24"/>
        </w:rPr>
        <w:t xml:space="preserve"> or (501) </w:t>
      </w:r>
      <w:r>
        <w:rPr>
          <w:rFonts w:ascii="Arial" w:eastAsia="Times New Roman" w:hAnsi="Arial" w:cs="Arial"/>
          <w:color w:val="333333"/>
          <w:sz w:val="24"/>
          <w:szCs w:val="24"/>
        </w:rPr>
        <w:t>202</w:t>
      </w:r>
      <w:r w:rsidRPr="00B302D8">
        <w:rPr>
          <w:rFonts w:ascii="Arial" w:eastAsia="Times New Roman" w:hAnsi="Arial" w:cs="Arial"/>
          <w:color w:val="333333"/>
          <w:sz w:val="24"/>
          <w:szCs w:val="24"/>
        </w:rPr>
        <w:t>-</w:t>
      </w:r>
      <w:r>
        <w:rPr>
          <w:rFonts w:ascii="Arial" w:eastAsia="Times New Roman" w:hAnsi="Arial" w:cs="Arial"/>
          <w:color w:val="333333"/>
          <w:sz w:val="24"/>
          <w:szCs w:val="24"/>
        </w:rPr>
        <w:t>6055</w:t>
      </w:r>
      <w:r w:rsidRPr="00B302D8">
        <w:rPr>
          <w:rFonts w:ascii="Arial" w:eastAsia="Times New Roman" w:hAnsi="Arial" w:cs="Arial"/>
          <w:color w:val="333333"/>
          <w:sz w:val="24"/>
          <w:szCs w:val="24"/>
        </w:rPr>
        <w:t>.</w:t>
      </w:r>
    </w:p>
    <w:p w:rsidR="00974AFD" w:rsidRPr="00B302D8" w:rsidRDefault="00974AFD" w:rsidP="00974AFD">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The amount of each emergency funding award for technology is a set amount of $300 per student.  Students must have completed a 2019-2020 or 2020-2021 FAFSA to receive the funding.  </w:t>
      </w:r>
    </w:p>
    <w:p w:rsidR="00F92C17" w:rsidRDefault="00F92C17" w:rsidP="00F92C17">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The same process is being followed for </w:t>
      </w:r>
      <w:r w:rsidR="00974AFD">
        <w:rPr>
          <w:rFonts w:ascii="Arial" w:eastAsia="Times New Roman" w:hAnsi="Arial" w:cs="Arial"/>
          <w:color w:val="333333"/>
          <w:sz w:val="24"/>
          <w:szCs w:val="24"/>
        </w:rPr>
        <w:t xml:space="preserve">awarding </w:t>
      </w:r>
      <w:r>
        <w:rPr>
          <w:rFonts w:ascii="Arial" w:eastAsia="Times New Roman" w:hAnsi="Arial" w:cs="Arial"/>
          <w:color w:val="333333"/>
          <w:sz w:val="24"/>
          <w:szCs w:val="24"/>
        </w:rPr>
        <w:t xml:space="preserve">the emergency grant for technology.  The student must complete the CARES Technology Grant application.  The Financial Aid Office reviews the application and awards the student.  Funds are also </w:t>
      </w:r>
      <w:r w:rsidRPr="00B302D8">
        <w:rPr>
          <w:rFonts w:ascii="Arial" w:eastAsia="Times New Roman" w:hAnsi="Arial" w:cs="Arial"/>
          <w:color w:val="333333"/>
          <w:sz w:val="24"/>
          <w:szCs w:val="24"/>
        </w:rPr>
        <w:t xml:space="preserve">disbursed to students via direct deposit and mail. </w:t>
      </w:r>
    </w:p>
    <w:p w:rsidR="00B302D8" w:rsidRPr="00B302D8"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xml:space="preserve">Students who had a completed FAFSA on file and those students who had been determined to be eligible for Federal Student Aid </w:t>
      </w:r>
      <w:r w:rsidR="00974AFD">
        <w:rPr>
          <w:rFonts w:ascii="Arial" w:eastAsia="Times New Roman" w:hAnsi="Arial" w:cs="Arial"/>
          <w:color w:val="333333"/>
          <w:sz w:val="24"/>
          <w:szCs w:val="24"/>
        </w:rPr>
        <w:t>are</w:t>
      </w:r>
      <w:r w:rsidRPr="00B302D8">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to </w:t>
      </w:r>
      <w:r w:rsidRPr="00B302D8">
        <w:rPr>
          <w:rFonts w:ascii="Arial" w:eastAsia="Times New Roman" w:hAnsi="Arial" w:cs="Arial"/>
          <w:color w:val="333333"/>
          <w:sz w:val="24"/>
          <w:szCs w:val="24"/>
        </w:rPr>
        <w:t>be awarded the grant. The criteria to participate in programs under Section 484 of the HEA include, but are not limited to, the following: U.S. citizenship or eligible noncitizen; a valid Social Security number; registration with Selective Service (if the student is male); and a high school diploma, GED, or completion of high school in an approved homeschool setting.</w:t>
      </w:r>
    </w:p>
    <w:p w:rsidR="00B302D8" w:rsidRPr="00B302D8"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The CARES Act expressly required that institutions provide the emergency financial aid grants directly to students “for expenses related to the disruption of campus operations due to coronavirus (including eligible expenses under a student’s cost of attendance, such as food, housing, course materials, technology, health care, and childcare)”. Funds were not to be used for other purposes.</w:t>
      </w:r>
    </w:p>
    <w:p w:rsidR="00B302D8" w:rsidRPr="00B302D8" w:rsidRDefault="00B302D8" w:rsidP="00B302D8">
      <w:pPr>
        <w:shd w:val="clear" w:color="auto" w:fill="FFFFFF"/>
        <w:spacing w:after="15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The initial amount of each grant awarded</w:t>
      </w:r>
      <w:r w:rsidR="001E471C">
        <w:rPr>
          <w:rFonts w:ascii="Arial" w:eastAsia="Times New Roman" w:hAnsi="Arial" w:cs="Arial"/>
          <w:color w:val="333333"/>
          <w:sz w:val="24"/>
          <w:szCs w:val="24"/>
        </w:rPr>
        <w:t xml:space="preserve"> for </w:t>
      </w:r>
      <w:r w:rsidR="00FE379D">
        <w:rPr>
          <w:rFonts w:ascii="Arial" w:eastAsia="Times New Roman" w:hAnsi="Arial" w:cs="Arial"/>
          <w:color w:val="333333"/>
          <w:sz w:val="24"/>
          <w:szCs w:val="24"/>
        </w:rPr>
        <w:t>spring</w:t>
      </w:r>
      <w:r w:rsidR="001E471C">
        <w:rPr>
          <w:rFonts w:ascii="Arial" w:eastAsia="Times New Roman" w:hAnsi="Arial" w:cs="Arial"/>
          <w:color w:val="333333"/>
          <w:sz w:val="24"/>
          <w:szCs w:val="24"/>
        </w:rPr>
        <w:t xml:space="preserve"> and </w:t>
      </w:r>
      <w:r w:rsidR="00FE379D">
        <w:rPr>
          <w:rFonts w:ascii="Arial" w:eastAsia="Times New Roman" w:hAnsi="Arial" w:cs="Arial"/>
          <w:color w:val="333333"/>
          <w:sz w:val="24"/>
          <w:szCs w:val="24"/>
        </w:rPr>
        <w:t>fall</w:t>
      </w:r>
      <w:r w:rsidR="001E471C">
        <w:rPr>
          <w:rFonts w:ascii="Arial" w:eastAsia="Times New Roman" w:hAnsi="Arial" w:cs="Arial"/>
          <w:color w:val="333333"/>
          <w:sz w:val="24"/>
          <w:szCs w:val="24"/>
        </w:rPr>
        <w:t xml:space="preserve"> semester</w:t>
      </w:r>
      <w:r w:rsidRPr="00B302D8">
        <w:rPr>
          <w:rFonts w:ascii="Arial" w:eastAsia="Times New Roman" w:hAnsi="Arial" w:cs="Arial"/>
          <w:color w:val="333333"/>
          <w:sz w:val="24"/>
          <w:szCs w:val="24"/>
        </w:rPr>
        <w:t xml:space="preserve"> were based on the following chart: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7"/>
        <w:gridCol w:w="5352"/>
        <w:gridCol w:w="2012"/>
        <w:gridCol w:w="961"/>
        <w:gridCol w:w="962"/>
        <w:gridCol w:w="6"/>
      </w:tblGrid>
      <w:tr w:rsidR="00B302D8" w:rsidRPr="00B302D8" w:rsidTr="001E471C">
        <w:tc>
          <w:tcPr>
            <w:tcW w:w="0" w:type="auto"/>
            <w:tcBorders>
              <w:top w:val="nil"/>
              <w:left w:val="nil"/>
              <w:bottom w:val="nil"/>
              <w:right w:val="nil"/>
            </w:tcBorders>
            <w:shd w:val="clear" w:color="auto" w:fill="000000"/>
            <w:tcMar>
              <w:top w:w="0" w:type="dxa"/>
              <w:left w:w="0" w:type="dxa"/>
              <w:bottom w:w="0" w:type="dxa"/>
              <w:right w:w="0" w:type="dxa"/>
            </w:tcMar>
          </w:tcPr>
          <w:p w:rsidR="00B302D8" w:rsidRPr="00B302D8" w:rsidRDefault="00B302D8" w:rsidP="00B302D8">
            <w:pPr>
              <w:spacing w:after="0" w:line="240" w:lineRule="auto"/>
              <w:rPr>
                <w:rFonts w:ascii="Arial" w:eastAsia="Times New Roman" w:hAnsi="Arial" w:cs="Arial"/>
                <w:color w:val="333333"/>
                <w:sz w:val="24"/>
                <w:szCs w:val="24"/>
              </w:rPr>
            </w:pPr>
          </w:p>
        </w:tc>
        <w:tc>
          <w:tcPr>
            <w:tcW w:w="0" w:type="auto"/>
            <w:tcBorders>
              <w:top w:val="nil"/>
              <w:left w:val="nil"/>
              <w:bottom w:val="nil"/>
              <w:right w:val="nil"/>
            </w:tcBorders>
            <w:shd w:val="clear" w:color="auto" w:fill="000000"/>
            <w:tcMar>
              <w:top w:w="0" w:type="dxa"/>
              <w:left w:w="0" w:type="dxa"/>
              <w:bottom w:w="0" w:type="dxa"/>
              <w:right w:w="0" w:type="dxa"/>
            </w:tcMar>
          </w:tcPr>
          <w:p w:rsidR="001E471C" w:rsidRPr="00B302D8" w:rsidRDefault="001E471C" w:rsidP="00B302D8">
            <w:pPr>
              <w:spacing w:after="0" w:line="240" w:lineRule="auto"/>
              <w:rPr>
                <w:rFonts w:ascii="Arial" w:eastAsia="Times New Roman" w:hAnsi="Arial" w:cs="Arial"/>
                <w:color w:val="333333"/>
                <w:sz w:val="24"/>
                <w:szCs w:val="24"/>
              </w:rPr>
            </w:pPr>
          </w:p>
        </w:tc>
        <w:tc>
          <w:tcPr>
            <w:tcW w:w="0" w:type="auto"/>
            <w:tcBorders>
              <w:top w:val="nil"/>
              <w:left w:val="nil"/>
              <w:bottom w:val="nil"/>
              <w:right w:val="nil"/>
            </w:tcBorders>
            <w:shd w:val="clear" w:color="auto" w:fill="00000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00000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00000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00000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r>
      <w:tr w:rsidR="00B302D8" w:rsidRPr="00B302D8" w:rsidTr="00301AB6">
        <w:tc>
          <w:tcPr>
            <w:tcW w:w="50" w:type="pct"/>
            <w:tcBorders>
              <w:top w:val="nil"/>
              <w:left w:val="nil"/>
              <w:bottom w:val="nil"/>
              <w:right w:val="nil"/>
            </w:tcBorders>
            <w:shd w:val="clear" w:color="auto" w:fill="F0F0F0"/>
            <w:tcMar>
              <w:top w:w="0" w:type="dxa"/>
              <w:left w:w="0" w:type="dxa"/>
              <w:bottom w:w="0" w:type="dxa"/>
              <w:right w:w="0" w:type="dxa"/>
            </w:tcMar>
            <w:hideMark/>
          </w:tcPr>
          <w:p w:rsidR="00B302D8" w:rsidRPr="00B302D8" w:rsidRDefault="00B302D8" w:rsidP="00B302D8">
            <w:pPr>
              <w:spacing w:after="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w:t>
            </w:r>
          </w:p>
        </w:tc>
        <w:tc>
          <w:tcPr>
            <w:tcW w:w="21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rPr>
                <w:rFonts w:ascii="Arial" w:eastAsia="Times New Roman" w:hAnsi="Arial" w:cs="Arial"/>
                <w:color w:val="333333"/>
                <w:sz w:val="24"/>
                <w:szCs w:val="24"/>
              </w:rPr>
            </w:pPr>
          </w:p>
        </w:tc>
        <w:tc>
          <w:tcPr>
            <w:tcW w:w="14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5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r>
      <w:tr w:rsidR="00B302D8" w:rsidRPr="00B302D8" w:rsidTr="00301AB6">
        <w:tc>
          <w:tcPr>
            <w:tcW w:w="50" w:type="pct"/>
            <w:tcBorders>
              <w:top w:val="nil"/>
              <w:left w:val="nil"/>
              <w:bottom w:val="nil"/>
              <w:right w:val="nil"/>
            </w:tcBorders>
            <w:shd w:val="clear" w:color="auto" w:fill="F0F0F0"/>
            <w:tcMar>
              <w:top w:w="0" w:type="dxa"/>
              <w:left w:w="0" w:type="dxa"/>
              <w:bottom w:w="0" w:type="dxa"/>
              <w:right w:w="0" w:type="dxa"/>
            </w:tcMar>
            <w:hideMark/>
          </w:tcPr>
          <w:p w:rsidR="00B302D8" w:rsidRPr="00B302D8" w:rsidRDefault="00B302D8" w:rsidP="00B302D8">
            <w:pPr>
              <w:spacing w:after="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w:t>
            </w:r>
          </w:p>
        </w:tc>
        <w:tc>
          <w:tcPr>
            <w:tcW w:w="2100" w:type="pct"/>
            <w:tcBorders>
              <w:top w:val="nil"/>
              <w:left w:val="nil"/>
              <w:bottom w:val="nil"/>
              <w:right w:val="nil"/>
            </w:tcBorders>
            <w:shd w:val="clear" w:color="auto" w:fill="F0F0F0"/>
            <w:tcMar>
              <w:top w:w="0" w:type="dxa"/>
              <w:left w:w="0" w:type="dxa"/>
              <w:bottom w:w="0" w:type="dxa"/>
              <w:right w:w="0" w:type="dxa"/>
            </w:tcMar>
          </w:tcPr>
          <w:tbl>
            <w:tblPr>
              <w:tblW w:w="5260" w:type="dxa"/>
              <w:tblLook w:val="04A0" w:firstRow="1" w:lastRow="0" w:firstColumn="1" w:lastColumn="0" w:noHBand="0" w:noVBand="1"/>
            </w:tblPr>
            <w:tblGrid>
              <w:gridCol w:w="960"/>
              <w:gridCol w:w="1172"/>
              <w:gridCol w:w="3200"/>
            </w:tblGrid>
            <w:tr w:rsidR="00301AB6" w:rsidRPr="00301AB6" w:rsidTr="00301AB6">
              <w:trPr>
                <w:trHeight w:val="525"/>
              </w:trPr>
              <w:tc>
                <w:tcPr>
                  <w:tcW w:w="2060" w:type="dxa"/>
                  <w:gridSpan w:val="2"/>
                  <w:tcBorders>
                    <w:top w:val="single" w:sz="8" w:space="0" w:color="CCCCCC"/>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center"/>
                    <w:rPr>
                      <w:rFonts w:ascii="Calibri" w:eastAsia="Times New Roman" w:hAnsi="Calibri" w:cs="Calibri"/>
                    </w:rPr>
                  </w:pPr>
                  <w:r w:rsidRPr="00301AB6">
                    <w:rPr>
                      <w:rFonts w:ascii="Calibri" w:eastAsia="Times New Roman" w:hAnsi="Calibri" w:cs="Calibri"/>
                    </w:rPr>
                    <w:t>EFC Range</w:t>
                  </w:r>
                </w:p>
              </w:tc>
              <w:tc>
                <w:tcPr>
                  <w:tcW w:w="3200" w:type="dxa"/>
                  <w:tcBorders>
                    <w:top w:val="single" w:sz="8" w:space="0" w:color="CCCCCC"/>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rPr>
                      <w:rFonts w:ascii="Arial" w:eastAsia="Times New Roman" w:hAnsi="Arial" w:cs="Arial"/>
                      <w:color w:val="000000"/>
                      <w:sz w:val="20"/>
                      <w:szCs w:val="20"/>
                    </w:rPr>
                  </w:pPr>
                  <w:r w:rsidRPr="00301AB6">
                    <w:rPr>
                      <w:rFonts w:ascii="Arial" w:eastAsia="Times New Roman" w:hAnsi="Arial" w:cs="Arial"/>
                      <w:color w:val="000000"/>
                      <w:sz w:val="20"/>
                      <w:szCs w:val="20"/>
                    </w:rPr>
                    <w:t>Full Time Amounts to be awarded to students</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0</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3000</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$900.00</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3001</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6000</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$850.00</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6001</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8000</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$750.00</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8001</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10000</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$625.00</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10001</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20000</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$550.00</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20000</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30999</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$350.00</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31000</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60000</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$300.00</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61000</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jc w:val="right"/>
                    <w:rPr>
                      <w:rFonts w:ascii="Calibri" w:eastAsia="Times New Roman" w:hAnsi="Calibri" w:cs="Calibri"/>
                    </w:rPr>
                  </w:pPr>
                  <w:r w:rsidRPr="00301AB6">
                    <w:rPr>
                      <w:rFonts w:ascii="Calibri" w:eastAsia="Times New Roman" w:hAnsi="Calibri" w:cs="Calibri"/>
                    </w:rPr>
                    <w:t>99000</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 xml:space="preserve">$200.00 </w:t>
                  </w:r>
                </w:p>
              </w:tc>
            </w:tr>
            <w:tr w:rsidR="00301AB6" w:rsidRPr="00301AB6" w:rsidTr="00301AB6">
              <w:trPr>
                <w:trHeight w:val="315"/>
              </w:trPr>
              <w:tc>
                <w:tcPr>
                  <w:tcW w:w="960" w:type="dxa"/>
                  <w:tcBorders>
                    <w:top w:val="nil"/>
                    <w:left w:val="single" w:sz="8" w:space="0" w:color="CCCCCC"/>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rPr>
                      <w:rFonts w:ascii="Calibri" w:eastAsia="Times New Roman" w:hAnsi="Calibri" w:cs="Calibri"/>
                    </w:rPr>
                  </w:pPr>
                  <w:r w:rsidRPr="00301AB6">
                    <w:rPr>
                      <w:rFonts w:ascii="Calibri" w:eastAsia="Times New Roman" w:hAnsi="Calibri" w:cs="Calibri"/>
                    </w:rPr>
                    <w:t>No EFC</w:t>
                  </w:r>
                </w:p>
              </w:tc>
              <w:tc>
                <w:tcPr>
                  <w:tcW w:w="1100" w:type="dxa"/>
                  <w:tcBorders>
                    <w:top w:val="nil"/>
                    <w:left w:val="nil"/>
                    <w:bottom w:val="single" w:sz="8" w:space="0" w:color="CCCCCC"/>
                    <w:right w:val="single" w:sz="8" w:space="0" w:color="CCCCCC"/>
                  </w:tcBorders>
                  <w:shd w:val="clear" w:color="auto" w:fill="auto"/>
                  <w:vAlign w:val="bottom"/>
                  <w:hideMark/>
                </w:tcPr>
                <w:p w:rsidR="00301AB6" w:rsidRPr="00301AB6" w:rsidRDefault="00301AB6" w:rsidP="00301AB6">
                  <w:pPr>
                    <w:spacing w:after="0" w:line="240" w:lineRule="auto"/>
                    <w:rPr>
                      <w:rFonts w:ascii="Calibri" w:eastAsia="Times New Roman" w:hAnsi="Calibri" w:cs="Calibri"/>
                    </w:rPr>
                  </w:pPr>
                  <w:r w:rsidRPr="00301AB6">
                    <w:rPr>
                      <w:rFonts w:ascii="Calibri" w:eastAsia="Times New Roman" w:hAnsi="Calibri" w:cs="Calibri"/>
                    </w:rPr>
                    <w:t>NO_FAFSA</w:t>
                  </w:r>
                </w:p>
              </w:tc>
              <w:tc>
                <w:tcPr>
                  <w:tcW w:w="3200" w:type="dxa"/>
                  <w:tcBorders>
                    <w:top w:val="nil"/>
                    <w:left w:val="nil"/>
                    <w:bottom w:val="single" w:sz="8" w:space="0" w:color="CCCCCC"/>
                    <w:right w:val="single" w:sz="8" w:space="0" w:color="CCCCCC"/>
                  </w:tcBorders>
                  <w:shd w:val="clear" w:color="auto" w:fill="auto"/>
                  <w:hideMark/>
                </w:tcPr>
                <w:p w:rsidR="00301AB6" w:rsidRPr="00301AB6" w:rsidRDefault="00301AB6" w:rsidP="00301AB6">
                  <w:pPr>
                    <w:spacing w:after="0" w:line="240" w:lineRule="auto"/>
                    <w:jc w:val="right"/>
                    <w:rPr>
                      <w:rFonts w:ascii="Arial" w:eastAsia="Times New Roman" w:hAnsi="Arial" w:cs="Arial"/>
                      <w:color w:val="000000"/>
                      <w:sz w:val="20"/>
                      <w:szCs w:val="20"/>
                    </w:rPr>
                  </w:pPr>
                  <w:r w:rsidRPr="00301AB6">
                    <w:rPr>
                      <w:rFonts w:ascii="Arial" w:eastAsia="Times New Roman" w:hAnsi="Arial" w:cs="Arial"/>
                      <w:color w:val="000000"/>
                      <w:sz w:val="20"/>
                      <w:szCs w:val="20"/>
                    </w:rPr>
                    <w:t xml:space="preserve">$150.00 </w:t>
                  </w:r>
                </w:p>
              </w:tc>
            </w:tr>
            <w:tr w:rsidR="00301AB6" w:rsidRPr="00301AB6" w:rsidTr="00301AB6">
              <w:trPr>
                <w:trHeight w:val="300"/>
              </w:trPr>
              <w:tc>
                <w:tcPr>
                  <w:tcW w:w="960" w:type="dxa"/>
                  <w:tcBorders>
                    <w:top w:val="nil"/>
                    <w:left w:val="nil"/>
                    <w:bottom w:val="nil"/>
                    <w:right w:val="nil"/>
                  </w:tcBorders>
                  <w:shd w:val="clear" w:color="auto" w:fill="auto"/>
                  <w:noWrap/>
                  <w:vAlign w:val="bottom"/>
                  <w:hideMark/>
                </w:tcPr>
                <w:p w:rsidR="00301AB6" w:rsidRPr="00301AB6" w:rsidRDefault="00301AB6" w:rsidP="00301AB6">
                  <w:pPr>
                    <w:spacing w:after="0" w:line="240" w:lineRule="auto"/>
                    <w:jc w:val="right"/>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301AB6" w:rsidRPr="00301AB6" w:rsidRDefault="00301AB6" w:rsidP="00301AB6">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rsidR="00301AB6" w:rsidRPr="00301AB6" w:rsidRDefault="00301AB6" w:rsidP="00301AB6">
                  <w:pPr>
                    <w:spacing w:after="0" w:line="240" w:lineRule="auto"/>
                    <w:rPr>
                      <w:rFonts w:ascii="Times New Roman" w:eastAsia="Times New Roman" w:hAnsi="Times New Roman" w:cs="Times New Roman"/>
                      <w:sz w:val="20"/>
                      <w:szCs w:val="20"/>
                    </w:rPr>
                  </w:pPr>
                </w:p>
              </w:tc>
            </w:tr>
          </w:tbl>
          <w:p w:rsidR="00B302D8" w:rsidRPr="00B302D8" w:rsidRDefault="00B302D8" w:rsidP="00B302D8">
            <w:pPr>
              <w:spacing w:after="0" w:line="240" w:lineRule="auto"/>
              <w:rPr>
                <w:rFonts w:ascii="Arial" w:eastAsia="Times New Roman" w:hAnsi="Arial" w:cs="Arial"/>
                <w:color w:val="333333"/>
                <w:sz w:val="24"/>
                <w:szCs w:val="24"/>
              </w:rPr>
            </w:pPr>
          </w:p>
        </w:tc>
        <w:tc>
          <w:tcPr>
            <w:tcW w:w="14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5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r>
      <w:tr w:rsidR="00B302D8" w:rsidRPr="00B302D8" w:rsidTr="00301AB6">
        <w:tc>
          <w:tcPr>
            <w:tcW w:w="50" w:type="pct"/>
            <w:tcBorders>
              <w:top w:val="nil"/>
              <w:left w:val="nil"/>
              <w:bottom w:val="nil"/>
              <w:right w:val="nil"/>
            </w:tcBorders>
            <w:shd w:val="clear" w:color="auto" w:fill="F0F0F0"/>
            <w:tcMar>
              <w:top w:w="0" w:type="dxa"/>
              <w:left w:w="0" w:type="dxa"/>
              <w:bottom w:w="0" w:type="dxa"/>
              <w:right w:w="0" w:type="dxa"/>
            </w:tcMar>
            <w:hideMark/>
          </w:tcPr>
          <w:p w:rsidR="00B302D8" w:rsidRPr="00B302D8" w:rsidRDefault="00B302D8" w:rsidP="00B302D8">
            <w:pPr>
              <w:spacing w:after="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w:t>
            </w:r>
          </w:p>
        </w:tc>
        <w:tc>
          <w:tcPr>
            <w:tcW w:w="21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rPr>
                <w:rFonts w:ascii="Arial" w:eastAsia="Times New Roman" w:hAnsi="Arial" w:cs="Arial"/>
                <w:color w:val="333333"/>
                <w:sz w:val="24"/>
                <w:szCs w:val="24"/>
              </w:rPr>
            </w:pPr>
          </w:p>
        </w:tc>
        <w:tc>
          <w:tcPr>
            <w:tcW w:w="14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5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r>
      <w:tr w:rsidR="00B302D8" w:rsidRPr="00B302D8" w:rsidTr="00301AB6">
        <w:tc>
          <w:tcPr>
            <w:tcW w:w="50" w:type="pct"/>
            <w:tcBorders>
              <w:top w:val="nil"/>
              <w:left w:val="nil"/>
              <w:bottom w:val="nil"/>
              <w:right w:val="nil"/>
            </w:tcBorders>
            <w:shd w:val="clear" w:color="auto" w:fill="F0F0F0"/>
            <w:tcMar>
              <w:top w:w="0" w:type="dxa"/>
              <w:left w:w="0" w:type="dxa"/>
              <w:bottom w:w="0" w:type="dxa"/>
              <w:right w:w="0" w:type="dxa"/>
            </w:tcMar>
            <w:hideMark/>
          </w:tcPr>
          <w:p w:rsidR="00B302D8" w:rsidRPr="00B302D8" w:rsidRDefault="00B302D8" w:rsidP="00B302D8">
            <w:pPr>
              <w:spacing w:after="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w:t>
            </w:r>
          </w:p>
        </w:tc>
        <w:tc>
          <w:tcPr>
            <w:tcW w:w="21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rPr>
                <w:rFonts w:ascii="Arial" w:eastAsia="Times New Roman" w:hAnsi="Arial" w:cs="Arial"/>
                <w:color w:val="333333"/>
                <w:sz w:val="24"/>
                <w:szCs w:val="24"/>
              </w:rPr>
            </w:pPr>
          </w:p>
        </w:tc>
        <w:tc>
          <w:tcPr>
            <w:tcW w:w="14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5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r>
      <w:tr w:rsidR="00B302D8" w:rsidRPr="00B302D8" w:rsidTr="00301AB6">
        <w:tc>
          <w:tcPr>
            <w:tcW w:w="50" w:type="pct"/>
            <w:tcBorders>
              <w:top w:val="nil"/>
              <w:left w:val="nil"/>
              <w:bottom w:val="nil"/>
              <w:right w:val="nil"/>
            </w:tcBorders>
            <w:shd w:val="clear" w:color="auto" w:fill="F0F0F0"/>
            <w:tcMar>
              <w:top w:w="0" w:type="dxa"/>
              <w:left w:w="0" w:type="dxa"/>
              <w:bottom w:w="0" w:type="dxa"/>
              <w:right w:w="0" w:type="dxa"/>
            </w:tcMar>
            <w:hideMark/>
          </w:tcPr>
          <w:p w:rsidR="00B302D8" w:rsidRPr="00B302D8" w:rsidRDefault="00B302D8" w:rsidP="00B302D8">
            <w:pPr>
              <w:spacing w:after="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w:t>
            </w:r>
          </w:p>
        </w:tc>
        <w:tc>
          <w:tcPr>
            <w:tcW w:w="21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rPr>
                <w:rFonts w:ascii="Arial" w:eastAsia="Times New Roman" w:hAnsi="Arial" w:cs="Arial"/>
                <w:color w:val="333333"/>
                <w:sz w:val="24"/>
                <w:szCs w:val="24"/>
              </w:rPr>
            </w:pPr>
          </w:p>
        </w:tc>
        <w:tc>
          <w:tcPr>
            <w:tcW w:w="14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5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r>
      <w:tr w:rsidR="00B302D8" w:rsidRPr="00B302D8" w:rsidTr="00301AB6">
        <w:tc>
          <w:tcPr>
            <w:tcW w:w="50" w:type="pct"/>
            <w:tcBorders>
              <w:top w:val="nil"/>
              <w:left w:val="nil"/>
              <w:bottom w:val="nil"/>
              <w:right w:val="nil"/>
            </w:tcBorders>
            <w:shd w:val="clear" w:color="auto" w:fill="F0F0F0"/>
            <w:tcMar>
              <w:top w:w="0" w:type="dxa"/>
              <w:left w:w="0" w:type="dxa"/>
              <w:bottom w:w="0" w:type="dxa"/>
              <w:right w:w="0" w:type="dxa"/>
            </w:tcMar>
            <w:hideMark/>
          </w:tcPr>
          <w:p w:rsidR="00B302D8" w:rsidRPr="00B302D8" w:rsidRDefault="00B302D8" w:rsidP="00B302D8">
            <w:pPr>
              <w:spacing w:after="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w:t>
            </w:r>
          </w:p>
        </w:tc>
        <w:tc>
          <w:tcPr>
            <w:tcW w:w="21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rPr>
                <w:rFonts w:ascii="Arial" w:eastAsia="Times New Roman" w:hAnsi="Arial" w:cs="Arial"/>
                <w:color w:val="333333"/>
                <w:sz w:val="24"/>
                <w:szCs w:val="24"/>
              </w:rPr>
            </w:pPr>
          </w:p>
        </w:tc>
        <w:tc>
          <w:tcPr>
            <w:tcW w:w="14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5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r>
      <w:tr w:rsidR="00B302D8" w:rsidRPr="00B302D8" w:rsidTr="00301AB6">
        <w:tc>
          <w:tcPr>
            <w:tcW w:w="50" w:type="pct"/>
            <w:tcBorders>
              <w:top w:val="nil"/>
              <w:left w:val="nil"/>
              <w:bottom w:val="nil"/>
              <w:right w:val="nil"/>
            </w:tcBorders>
            <w:shd w:val="clear" w:color="auto" w:fill="F0F0F0"/>
            <w:tcMar>
              <w:top w:w="0" w:type="dxa"/>
              <w:left w:w="0" w:type="dxa"/>
              <w:bottom w:w="0" w:type="dxa"/>
              <w:right w:w="0" w:type="dxa"/>
            </w:tcMar>
            <w:hideMark/>
          </w:tcPr>
          <w:p w:rsidR="00B302D8" w:rsidRPr="00B302D8" w:rsidRDefault="00B302D8" w:rsidP="00B302D8">
            <w:pPr>
              <w:spacing w:after="0" w:line="240" w:lineRule="auto"/>
              <w:rPr>
                <w:rFonts w:ascii="Arial" w:eastAsia="Times New Roman" w:hAnsi="Arial" w:cs="Arial"/>
                <w:color w:val="333333"/>
                <w:sz w:val="24"/>
                <w:szCs w:val="24"/>
              </w:rPr>
            </w:pPr>
            <w:r w:rsidRPr="00B302D8">
              <w:rPr>
                <w:rFonts w:ascii="Arial" w:eastAsia="Times New Roman" w:hAnsi="Arial" w:cs="Arial"/>
                <w:color w:val="333333"/>
                <w:sz w:val="24"/>
                <w:szCs w:val="24"/>
              </w:rPr>
              <w:t> </w:t>
            </w:r>
          </w:p>
        </w:tc>
        <w:tc>
          <w:tcPr>
            <w:tcW w:w="21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rPr>
                <w:rFonts w:ascii="Arial" w:eastAsia="Times New Roman" w:hAnsi="Arial" w:cs="Arial"/>
                <w:color w:val="333333"/>
                <w:sz w:val="24"/>
                <w:szCs w:val="24"/>
              </w:rPr>
            </w:pPr>
          </w:p>
        </w:tc>
        <w:tc>
          <w:tcPr>
            <w:tcW w:w="140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0" w:type="auto"/>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c>
          <w:tcPr>
            <w:tcW w:w="50" w:type="pct"/>
            <w:tcBorders>
              <w:top w:val="nil"/>
              <w:left w:val="nil"/>
              <w:bottom w:val="nil"/>
              <w:right w:val="nil"/>
            </w:tcBorders>
            <w:shd w:val="clear" w:color="auto" w:fill="F0F0F0"/>
            <w:tcMar>
              <w:top w:w="0" w:type="dxa"/>
              <w:left w:w="0" w:type="dxa"/>
              <w:bottom w:w="0" w:type="dxa"/>
              <w:right w:w="0" w:type="dxa"/>
            </w:tcMar>
          </w:tcPr>
          <w:p w:rsidR="00B302D8" w:rsidRPr="00B302D8" w:rsidRDefault="00B302D8" w:rsidP="00B302D8">
            <w:pPr>
              <w:spacing w:after="0" w:line="240" w:lineRule="auto"/>
              <w:jc w:val="center"/>
              <w:rPr>
                <w:rFonts w:ascii="Arial" w:eastAsia="Times New Roman" w:hAnsi="Arial" w:cs="Arial"/>
                <w:color w:val="333333"/>
                <w:sz w:val="24"/>
                <w:szCs w:val="24"/>
              </w:rPr>
            </w:pPr>
          </w:p>
        </w:tc>
      </w:tr>
    </w:tbl>
    <w:p w:rsidR="00887266" w:rsidRPr="00887266" w:rsidRDefault="00B302D8" w:rsidP="00887266">
      <w:pPr>
        <w:shd w:val="clear" w:color="auto" w:fill="FFFFFF"/>
        <w:spacing w:after="150" w:line="240" w:lineRule="auto"/>
        <w:rPr>
          <w:rFonts w:ascii="Arial" w:hAnsi="Arial" w:cs="Arial"/>
          <w:color w:val="222222"/>
          <w:sz w:val="24"/>
          <w:szCs w:val="24"/>
          <w:shd w:val="clear" w:color="auto" w:fill="FFFFFF"/>
        </w:rPr>
      </w:pPr>
      <w:r w:rsidRPr="00B302D8">
        <w:rPr>
          <w:rFonts w:ascii="Arial" w:eastAsia="Times New Roman" w:hAnsi="Arial" w:cs="Arial"/>
          <w:color w:val="333333"/>
          <w:sz w:val="24"/>
          <w:szCs w:val="24"/>
        </w:rPr>
        <w:t xml:space="preserve">*Once the deadline of </w:t>
      </w:r>
      <w:r w:rsidR="00FE379D">
        <w:rPr>
          <w:rFonts w:ascii="Arial" w:eastAsia="Times New Roman" w:hAnsi="Arial" w:cs="Arial"/>
          <w:color w:val="333333"/>
          <w:sz w:val="24"/>
          <w:szCs w:val="24"/>
        </w:rPr>
        <w:t>May</w:t>
      </w:r>
      <w:r w:rsidRPr="00B302D8">
        <w:rPr>
          <w:rFonts w:ascii="Arial" w:eastAsia="Times New Roman" w:hAnsi="Arial" w:cs="Arial"/>
          <w:color w:val="333333"/>
          <w:sz w:val="24"/>
          <w:szCs w:val="24"/>
        </w:rPr>
        <w:t xml:space="preserve"> </w:t>
      </w:r>
      <w:r w:rsidR="00301AB6">
        <w:rPr>
          <w:rFonts w:ascii="Arial" w:eastAsia="Times New Roman" w:hAnsi="Arial" w:cs="Arial"/>
          <w:color w:val="333333"/>
          <w:sz w:val="24"/>
          <w:szCs w:val="24"/>
        </w:rPr>
        <w:t>28</w:t>
      </w:r>
      <w:r w:rsidRPr="00B302D8">
        <w:rPr>
          <w:rFonts w:ascii="Arial" w:eastAsia="Times New Roman" w:hAnsi="Arial" w:cs="Arial"/>
          <w:color w:val="333333"/>
          <w:sz w:val="24"/>
          <w:szCs w:val="24"/>
        </w:rPr>
        <w:t xml:space="preserve">, 2020 to submit the certification passed, the remaining “advanced funds” </w:t>
      </w:r>
      <w:r w:rsidR="0076655B">
        <w:rPr>
          <w:rFonts w:ascii="Arial" w:eastAsia="Times New Roman" w:hAnsi="Arial" w:cs="Arial"/>
          <w:color w:val="333333"/>
          <w:sz w:val="24"/>
          <w:szCs w:val="24"/>
        </w:rPr>
        <w:t>will be awarded to the fall incoming students and will be</w:t>
      </w:r>
      <w:r w:rsidRPr="00B302D8">
        <w:rPr>
          <w:rFonts w:ascii="Arial" w:eastAsia="Times New Roman" w:hAnsi="Arial" w:cs="Arial"/>
          <w:color w:val="333333"/>
          <w:sz w:val="24"/>
          <w:szCs w:val="24"/>
        </w:rPr>
        <w:t xml:space="preserve"> used for the sole and exclusive purpose of providing emergency financial aid grants to students for their expenses related to the disruption of campus operations due to coronavirus, such as food, housing, course materials, technology, health care, and child-care expenses.</w:t>
      </w:r>
      <w:r w:rsidR="00300E30">
        <w:rPr>
          <w:rFonts w:ascii="Arial" w:eastAsia="Times New Roman" w:hAnsi="Arial" w:cs="Arial"/>
          <w:color w:val="333333"/>
          <w:sz w:val="24"/>
          <w:szCs w:val="24"/>
        </w:rPr>
        <w:t xml:space="preserve"> </w:t>
      </w:r>
      <w:r w:rsidR="00887266" w:rsidRPr="00887266">
        <w:rPr>
          <w:rFonts w:ascii="Arial" w:hAnsi="Arial" w:cs="Arial"/>
          <w:color w:val="222222"/>
          <w:sz w:val="24"/>
          <w:szCs w:val="24"/>
          <w:shd w:val="clear" w:color="auto" w:fill="FFFFFF"/>
        </w:rPr>
        <w:t>We plan to opened the application in July 2020 for our fall semester students still experiencing hardships to apply.</w:t>
      </w:r>
    </w:p>
    <w:p w:rsidR="005044AA" w:rsidRDefault="005044AA" w:rsidP="00887266">
      <w:pPr>
        <w:shd w:val="clear" w:color="auto" w:fill="FFFFFF"/>
        <w:spacing w:after="150" w:line="240" w:lineRule="auto"/>
      </w:pPr>
    </w:p>
    <w:sectPr w:rsidR="0050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D8"/>
    <w:rsid w:val="00026484"/>
    <w:rsid w:val="001B42DA"/>
    <w:rsid w:val="001E471C"/>
    <w:rsid w:val="001E5CBD"/>
    <w:rsid w:val="00213160"/>
    <w:rsid w:val="002C740E"/>
    <w:rsid w:val="00300E30"/>
    <w:rsid w:val="00301AB6"/>
    <w:rsid w:val="003529D8"/>
    <w:rsid w:val="005044AA"/>
    <w:rsid w:val="0055146E"/>
    <w:rsid w:val="0057409F"/>
    <w:rsid w:val="00737DCE"/>
    <w:rsid w:val="0076655B"/>
    <w:rsid w:val="007D3A95"/>
    <w:rsid w:val="00887266"/>
    <w:rsid w:val="00974AFD"/>
    <w:rsid w:val="009F1E7F"/>
    <w:rsid w:val="00B302D8"/>
    <w:rsid w:val="00CC652B"/>
    <w:rsid w:val="00DF7967"/>
    <w:rsid w:val="00E44E49"/>
    <w:rsid w:val="00F03DA1"/>
    <w:rsid w:val="00F92C17"/>
    <w:rsid w:val="00FE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8029"/>
  <w15:chartTrackingRefBased/>
  <w15:docId w15:val="{9F1529B9-1622-4083-9B3A-9EAD99C5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2D8"/>
    <w:rPr>
      <w:b/>
      <w:bCs/>
    </w:rPr>
  </w:style>
  <w:style w:type="character" w:styleId="Hyperlink">
    <w:name w:val="Hyperlink"/>
    <w:basedOn w:val="DefaultParagraphFont"/>
    <w:uiPriority w:val="99"/>
    <w:unhideWhenUsed/>
    <w:rsid w:val="00B302D8"/>
    <w:rPr>
      <w:color w:val="0000FF"/>
      <w:u w:val="single"/>
    </w:rPr>
  </w:style>
  <w:style w:type="paragraph" w:styleId="BalloonText">
    <w:name w:val="Balloon Text"/>
    <w:basedOn w:val="Normal"/>
    <w:link w:val="BalloonTextChar"/>
    <w:uiPriority w:val="99"/>
    <w:semiHidden/>
    <w:unhideWhenUsed/>
    <w:rsid w:val="00F92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1466">
      <w:bodyDiv w:val="1"/>
      <w:marLeft w:val="0"/>
      <w:marRight w:val="0"/>
      <w:marTop w:val="0"/>
      <w:marBottom w:val="0"/>
      <w:divBdr>
        <w:top w:val="none" w:sz="0" w:space="0" w:color="auto"/>
        <w:left w:val="none" w:sz="0" w:space="0" w:color="auto"/>
        <w:bottom w:val="none" w:sz="0" w:space="0" w:color="auto"/>
        <w:right w:val="none" w:sz="0" w:space="0" w:color="auto"/>
      </w:divBdr>
    </w:div>
    <w:div w:id="287130005">
      <w:bodyDiv w:val="1"/>
      <w:marLeft w:val="0"/>
      <w:marRight w:val="0"/>
      <w:marTop w:val="0"/>
      <w:marBottom w:val="0"/>
      <w:divBdr>
        <w:top w:val="none" w:sz="0" w:space="0" w:color="auto"/>
        <w:left w:val="none" w:sz="0" w:space="0" w:color="auto"/>
        <w:bottom w:val="none" w:sz="0" w:space="0" w:color="auto"/>
        <w:right w:val="none" w:sz="0" w:space="0" w:color="auto"/>
      </w:divBdr>
    </w:div>
    <w:div w:id="503328036">
      <w:bodyDiv w:val="1"/>
      <w:marLeft w:val="0"/>
      <w:marRight w:val="0"/>
      <w:marTop w:val="0"/>
      <w:marBottom w:val="0"/>
      <w:divBdr>
        <w:top w:val="none" w:sz="0" w:space="0" w:color="auto"/>
        <w:left w:val="none" w:sz="0" w:space="0" w:color="auto"/>
        <w:bottom w:val="none" w:sz="0" w:space="0" w:color="auto"/>
        <w:right w:val="none" w:sz="0" w:space="0" w:color="auto"/>
      </w:divBdr>
    </w:div>
    <w:div w:id="1075588780">
      <w:bodyDiv w:val="1"/>
      <w:marLeft w:val="0"/>
      <w:marRight w:val="0"/>
      <w:marTop w:val="0"/>
      <w:marBottom w:val="0"/>
      <w:divBdr>
        <w:top w:val="none" w:sz="0" w:space="0" w:color="auto"/>
        <w:left w:val="none" w:sz="0" w:space="0" w:color="auto"/>
        <w:bottom w:val="none" w:sz="0" w:space="0" w:color="auto"/>
        <w:right w:val="none" w:sz="0" w:space="0" w:color="auto"/>
      </w:divBdr>
    </w:div>
    <w:div w:id="1372072590">
      <w:bodyDiv w:val="1"/>
      <w:marLeft w:val="0"/>
      <w:marRight w:val="0"/>
      <w:marTop w:val="0"/>
      <w:marBottom w:val="0"/>
      <w:divBdr>
        <w:top w:val="none" w:sz="0" w:space="0" w:color="auto"/>
        <w:left w:val="none" w:sz="0" w:space="0" w:color="auto"/>
        <w:bottom w:val="none" w:sz="0" w:space="0" w:color="auto"/>
        <w:right w:val="none" w:sz="0" w:space="0" w:color="auto"/>
      </w:divBdr>
    </w:div>
    <w:div w:id="15009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sinessoffice@bhclr.edu" TargetMode="External"/><Relationship Id="rId4" Type="http://schemas.openxmlformats.org/officeDocument/2006/relationships/hyperlink" Target="https://mybhclr.baptist-health.org/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 Martin</dc:creator>
  <cp:keywords/>
  <dc:description/>
  <cp:lastModifiedBy>Natalie C. Martin</cp:lastModifiedBy>
  <cp:revision>3</cp:revision>
  <cp:lastPrinted>2020-07-20T19:44:00Z</cp:lastPrinted>
  <dcterms:created xsi:type="dcterms:W3CDTF">2020-11-03T21:55:00Z</dcterms:created>
  <dcterms:modified xsi:type="dcterms:W3CDTF">2020-11-03T21:56:00Z</dcterms:modified>
</cp:coreProperties>
</file>